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E0" w:rsidRPr="00AA0538" w:rsidRDefault="003C5ECB" w:rsidP="00801AE0">
      <w:pPr>
        <w:contextualSpacing/>
        <w:jc w:val="center"/>
        <w:rPr>
          <w:rFonts w:ascii="Verdana" w:hAnsi="Verdana"/>
          <w:b/>
          <w:u w:val="single"/>
        </w:rPr>
      </w:pPr>
      <w:r w:rsidRPr="00AA0538">
        <w:rPr>
          <w:rFonts w:ascii="Verdana" w:hAnsi="Verdana"/>
          <w:b/>
          <w:u w:val="single"/>
        </w:rPr>
        <w:t>Pravidla</w:t>
      </w:r>
      <w:r w:rsidR="00801AE0" w:rsidRPr="00AA0538">
        <w:rPr>
          <w:rFonts w:ascii="Verdana" w:hAnsi="Verdana"/>
          <w:b/>
          <w:u w:val="single"/>
        </w:rPr>
        <w:t xml:space="preserve"> REKREAČNÍ LIGY TK Písek platné od 1.6.201</w:t>
      </w:r>
      <w:r w:rsidR="00AC619D" w:rsidRPr="00AA0538">
        <w:rPr>
          <w:rFonts w:ascii="Verdana" w:hAnsi="Verdana"/>
          <w:b/>
          <w:u w:val="single"/>
        </w:rPr>
        <w:t>5</w:t>
      </w:r>
      <w:r w:rsidR="00801AE0" w:rsidRPr="00AA0538">
        <w:rPr>
          <w:rFonts w:ascii="Verdana" w:hAnsi="Verdana"/>
          <w:b/>
          <w:u w:val="single"/>
        </w:rPr>
        <w:t>,</w:t>
      </w:r>
    </w:p>
    <w:p w:rsidR="00801AE0" w:rsidRPr="00AA0538" w:rsidRDefault="00801AE0" w:rsidP="00801AE0">
      <w:pPr>
        <w:contextualSpacing/>
        <w:jc w:val="center"/>
        <w:rPr>
          <w:rFonts w:ascii="Verdana" w:hAnsi="Verdana"/>
          <w:b/>
          <w:u w:val="single"/>
        </w:rPr>
      </w:pPr>
      <w:r w:rsidRPr="00AA0538">
        <w:rPr>
          <w:rFonts w:ascii="Verdana" w:hAnsi="Verdana"/>
          <w:b/>
          <w:u w:val="single"/>
        </w:rPr>
        <w:t>resp. data přijetí Jarní schůzkou rekreačních lig (dále SRL)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b/>
          <w:u w:val="single"/>
        </w:rPr>
      </w:pPr>
    </w:p>
    <w:p w:rsidR="00801AE0" w:rsidRPr="00AA0538" w:rsidRDefault="00801AE0" w:rsidP="00801AE0">
      <w:pPr>
        <w:contextualSpacing/>
        <w:jc w:val="both"/>
        <w:rPr>
          <w:rFonts w:ascii="Verdana" w:hAnsi="Verdana"/>
          <w:b/>
          <w:sz w:val="20"/>
          <w:szCs w:val="20"/>
        </w:rPr>
      </w:pPr>
      <w:r w:rsidRPr="00AA0538">
        <w:rPr>
          <w:rFonts w:ascii="Verdana" w:hAnsi="Verdana"/>
          <w:b/>
          <w:sz w:val="20"/>
          <w:szCs w:val="20"/>
        </w:rPr>
        <w:t>Motto: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 xml:space="preserve">Rekreační liga (RL) je organizovaná soutěž TK Písek v tenisových dvouhrách, s dobrovolnou účastí tenistů a probíhající v přátelském a sportovním duchu fair-play.   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sz w:val="20"/>
          <w:szCs w:val="20"/>
        </w:rPr>
      </w:pPr>
    </w:p>
    <w:p w:rsidR="00801AE0" w:rsidRPr="00AA0538" w:rsidRDefault="00801AE0" w:rsidP="00801AE0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AA0538">
        <w:rPr>
          <w:rFonts w:ascii="Verdana" w:hAnsi="Verdana"/>
          <w:b/>
          <w:sz w:val="20"/>
          <w:szCs w:val="20"/>
          <w:u w:val="single"/>
        </w:rPr>
        <w:t xml:space="preserve">Účastníci:            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>Každý zájemce o účast musí mít uhrazenou hrací známku a do 5. května zaplatit startovné 2</w:t>
      </w:r>
      <w:r w:rsidR="007C210D" w:rsidRPr="00AA0538">
        <w:rPr>
          <w:rFonts w:ascii="Verdana" w:hAnsi="Verdana"/>
          <w:sz w:val="20"/>
          <w:szCs w:val="20"/>
        </w:rPr>
        <w:t>5</w:t>
      </w:r>
      <w:r w:rsidRPr="00AA0538">
        <w:rPr>
          <w:rFonts w:ascii="Verdana" w:hAnsi="Verdana"/>
          <w:sz w:val="20"/>
          <w:szCs w:val="20"/>
        </w:rPr>
        <w:t xml:space="preserve">0 Kč a uvést svůj aktuální mobil, popř. mail. 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>RL je otevřena všem tenistům, tzn. i závodním hráčům, kteří zatraktivní a zvýší úroveň RL.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sz w:val="20"/>
          <w:szCs w:val="20"/>
        </w:rPr>
      </w:pPr>
    </w:p>
    <w:p w:rsidR="00801AE0" w:rsidRPr="00AA0538" w:rsidRDefault="00801AE0" w:rsidP="00801AE0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AA0538">
        <w:rPr>
          <w:rFonts w:ascii="Verdana" w:hAnsi="Verdana"/>
          <w:b/>
          <w:sz w:val="20"/>
          <w:szCs w:val="20"/>
          <w:u w:val="single"/>
        </w:rPr>
        <w:t>Organizace: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>RL začíná 1. června a končí 3</w:t>
      </w:r>
      <w:r w:rsidR="007C25E2" w:rsidRPr="00AA0538">
        <w:rPr>
          <w:rFonts w:ascii="Verdana" w:hAnsi="Verdana"/>
          <w:sz w:val="20"/>
          <w:szCs w:val="20"/>
        </w:rPr>
        <w:t>0</w:t>
      </w:r>
      <w:r w:rsidRPr="00AA0538">
        <w:rPr>
          <w:rFonts w:ascii="Verdana" w:hAnsi="Verdana"/>
          <w:sz w:val="20"/>
          <w:szCs w:val="20"/>
        </w:rPr>
        <w:t>. září.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 xml:space="preserve">Hlavním orgánem je SRL (Jarní schůzka rekreačních lig), kterou svolává výbor TK (známými maily a na vývěsce v areálu TK) alespoň týden před datem konání a která se uskuteční nejpozději do 10. května. Schůzi </w:t>
      </w:r>
      <w:proofErr w:type="gramStart"/>
      <w:r w:rsidRPr="00AA0538">
        <w:rPr>
          <w:rFonts w:ascii="Verdana" w:hAnsi="Verdana"/>
          <w:sz w:val="20"/>
          <w:szCs w:val="20"/>
        </w:rPr>
        <w:t>řídí</w:t>
      </w:r>
      <w:proofErr w:type="gramEnd"/>
      <w:r w:rsidRPr="00AA0538">
        <w:rPr>
          <w:rFonts w:ascii="Verdana" w:hAnsi="Verdana"/>
          <w:sz w:val="20"/>
          <w:szCs w:val="20"/>
        </w:rPr>
        <w:t xml:space="preserve"> výborem </w:t>
      </w:r>
      <w:proofErr w:type="gramStart"/>
      <w:r w:rsidRPr="00AA0538">
        <w:rPr>
          <w:rFonts w:ascii="Verdana" w:hAnsi="Verdana"/>
          <w:sz w:val="20"/>
          <w:szCs w:val="20"/>
        </w:rPr>
        <w:t>TK</w:t>
      </w:r>
      <w:proofErr w:type="gramEnd"/>
      <w:r w:rsidRPr="00AA0538">
        <w:rPr>
          <w:rFonts w:ascii="Verdana" w:hAnsi="Verdana"/>
          <w:sz w:val="20"/>
          <w:szCs w:val="20"/>
        </w:rPr>
        <w:t xml:space="preserve"> pověřená 3-členná skupina.</w:t>
      </w:r>
      <w:r w:rsidR="00E87DF2" w:rsidRPr="00AA0538">
        <w:rPr>
          <w:rFonts w:ascii="Verdana" w:hAnsi="Verdana"/>
          <w:sz w:val="20"/>
          <w:szCs w:val="20"/>
        </w:rPr>
        <w:t xml:space="preserve"> Nejpřijde-li do 15.4. na maily zapisovatele a předsedy TK žádost o svolání SRL alespoň od 3 hráčů, výbor může oznámit nekonání SRL s tím, že platí beze změn vše dříve odsouhlasené. 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>SRL musí každý rok schválit příslušná pravidla pro RL. Části vztahující se k chodu TK (např. startovné či počty obsazovaných kurtů) pak má právo nejpozději do 15.5. upravit výbor TK. SRL také každoročně volí zapisovatele, který je vázán těmito pravidly a který RL následně řídí a spravuje. Stížnost na zapisovatele řeší výbor TK. Výbor TK dohlíží na regulérní průběh RL a je oprávněn i k vyloučení hráče z ligy v případě závažného provinění hráče. Jeho případný protest bude projednán na příští SRL.</w:t>
      </w:r>
    </w:p>
    <w:p w:rsidR="00801AE0" w:rsidRPr="00AA0538" w:rsidRDefault="00801AE0" w:rsidP="00801AE0">
      <w:pPr>
        <w:pStyle w:val="Bezmezer"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 xml:space="preserve">Počet lig a soupisky hráčů v jednotlivých ligách se sestavují dle výsledků minulého ročníku a počtu přihlášených. Každá liga s výjimkou </w:t>
      </w:r>
      <w:r w:rsidR="00AC619D" w:rsidRPr="00AA0538">
        <w:rPr>
          <w:rFonts w:ascii="Verdana" w:hAnsi="Verdana"/>
          <w:sz w:val="20"/>
          <w:szCs w:val="20"/>
        </w:rPr>
        <w:t>dvou nejnižších</w:t>
      </w:r>
      <w:r w:rsidRPr="00AA0538">
        <w:rPr>
          <w:rFonts w:ascii="Verdana" w:hAnsi="Verdana"/>
          <w:sz w:val="20"/>
          <w:szCs w:val="20"/>
        </w:rPr>
        <w:t xml:space="preserve"> má 17 účastníků. </w:t>
      </w:r>
      <w:r w:rsidR="00AC619D" w:rsidRPr="00AA0538">
        <w:rPr>
          <w:rFonts w:ascii="Verdana" w:hAnsi="Verdana"/>
          <w:sz w:val="20"/>
          <w:szCs w:val="20"/>
        </w:rPr>
        <w:t xml:space="preserve">Druhá nejnižší může mít </w:t>
      </w:r>
      <w:r w:rsidR="0053666D" w:rsidRPr="00AA0538">
        <w:rPr>
          <w:rFonts w:ascii="Verdana" w:hAnsi="Verdana"/>
          <w:sz w:val="20"/>
          <w:szCs w:val="20"/>
        </w:rPr>
        <w:t xml:space="preserve">s ohledem na celkový počet přihlášek a jejich optimální rozdělení </w:t>
      </w:r>
      <w:r w:rsidR="00AC619D" w:rsidRPr="00AA0538">
        <w:rPr>
          <w:rFonts w:ascii="Verdana" w:hAnsi="Verdana"/>
          <w:sz w:val="20"/>
          <w:szCs w:val="20"/>
        </w:rPr>
        <w:t>14-17</w:t>
      </w:r>
      <w:r w:rsidR="0053666D" w:rsidRPr="00AA0538">
        <w:rPr>
          <w:rFonts w:ascii="Verdana" w:hAnsi="Verdana"/>
          <w:sz w:val="20"/>
          <w:szCs w:val="20"/>
        </w:rPr>
        <w:t xml:space="preserve"> hráčů a nejnižší pak až</w:t>
      </w:r>
      <w:r w:rsidR="00AC619D" w:rsidRPr="00AA0538">
        <w:rPr>
          <w:rFonts w:ascii="Verdana" w:hAnsi="Verdana"/>
          <w:sz w:val="20"/>
          <w:szCs w:val="20"/>
        </w:rPr>
        <w:t xml:space="preserve"> 20. </w:t>
      </w:r>
      <w:r w:rsidRPr="00AA0538">
        <w:rPr>
          <w:rFonts w:ascii="Verdana" w:hAnsi="Verdana"/>
          <w:sz w:val="20"/>
          <w:szCs w:val="20"/>
        </w:rPr>
        <w:t>Je-li v nejnižší méně než 10 hráčů, pak se</w:t>
      </w:r>
      <w:r w:rsidR="003C49E0" w:rsidRPr="00AA0538">
        <w:rPr>
          <w:rFonts w:ascii="Verdana" w:hAnsi="Verdana"/>
          <w:sz w:val="20"/>
          <w:szCs w:val="20"/>
        </w:rPr>
        <w:t xml:space="preserve"> tato</w:t>
      </w:r>
      <w:r w:rsidRPr="00AA0538">
        <w:rPr>
          <w:rFonts w:ascii="Verdana" w:hAnsi="Verdana"/>
          <w:sz w:val="20"/>
          <w:szCs w:val="20"/>
        </w:rPr>
        <w:t xml:space="preserve"> hraje dvoukolovým systémem. 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>RL má právo každý den na blokaci až 4 kurtů za standardních podmínek, tj. zejména včasného objednání, vyjma dnů, kdy se v areálu konají turnaje dle vývěsky TK.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>Veškeré volby na SRL jsou veřejné a rozhoduje prostá většina. Právo volit má každý účastník loňské RL, popř. i nový zájemce, který už uhradil startovné na příslušný ročník.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b/>
          <w:sz w:val="20"/>
          <w:szCs w:val="20"/>
        </w:rPr>
      </w:pPr>
    </w:p>
    <w:p w:rsidR="00801AE0" w:rsidRPr="00AA0538" w:rsidRDefault="00801AE0" w:rsidP="00801AE0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AA0538">
        <w:rPr>
          <w:rFonts w:ascii="Verdana" w:hAnsi="Verdana"/>
          <w:b/>
          <w:sz w:val="20"/>
          <w:szCs w:val="20"/>
          <w:u w:val="single"/>
        </w:rPr>
        <w:t>Pravidla hry: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>Hraje se na dva vítězné sety (za stavu 6/6 se hraje tiebreak) a vítěz zapíše výsledek do sešitu u správce.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sz w:val="20"/>
          <w:szCs w:val="20"/>
        </w:rPr>
      </w:pPr>
    </w:p>
    <w:p w:rsidR="00801AE0" w:rsidRPr="00AA0538" w:rsidRDefault="00801AE0" w:rsidP="00801AE0">
      <w:pPr>
        <w:contextualSpacing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>Zaplacením startovného se hráč zavazuje komunikovat se soupeři v jeho lize. Jestliže hráč odmítne 2 výzvy a nenavrhne jiný termín, vyzyvatel to oznámí zapisovateli a ten se pokusí sjednat termín utkání. Selže-li i tato možnost, zapisovatel zapíše vyzyvateli vítězství 6/0, 6/0.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 xml:space="preserve">Každý hráč by měl sehrát všechny zápasy, ale minimální počet odehraných zápasů není stanoven. 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sz w:val="20"/>
          <w:szCs w:val="20"/>
        </w:rPr>
      </w:pPr>
    </w:p>
    <w:p w:rsidR="00801AE0" w:rsidRPr="00AA0538" w:rsidRDefault="00801AE0" w:rsidP="00801AE0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AA0538">
        <w:rPr>
          <w:rFonts w:ascii="Verdana" w:hAnsi="Verdana"/>
          <w:b/>
          <w:sz w:val="20"/>
          <w:szCs w:val="20"/>
          <w:u w:val="single"/>
        </w:rPr>
        <w:t>Postupy a sestupy:</w:t>
      </w:r>
    </w:p>
    <w:p w:rsidR="00801AE0" w:rsidRPr="00AA0538" w:rsidRDefault="00801AE0" w:rsidP="00801AE0">
      <w:pPr>
        <w:pStyle w:val="Bezmezer"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>Z každé ligy 3 poslední sestupují o 1 ligu níže a 3 první postupují o ligu výše. To pochopitelně neplatí pro první trojici 1. ligy a 3 poslední z ligy nejnižší</w:t>
      </w:r>
      <w:r w:rsidR="00A46933" w:rsidRPr="00AA0538">
        <w:rPr>
          <w:rFonts w:ascii="Verdana" w:hAnsi="Verdana"/>
          <w:sz w:val="20"/>
          <w:szCs w:val="20"/>
        </w:rPr>
        <w:t>, popř. počtu sestupujích z druhé nejnižší ligy v případě nutnosti optimálně rozdělit přihlášené v dalším ročníku.</w:t>
      </w:r>
    </w:p>
    <w:p w:rsidR="00801AE0" w:rsidRPr="00AA0538" w:rsidRDefault="00801AE0" w:rsidP="00801AE0">
      <w:pPr>
        <w:pStyle w:val="Bezmezer"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>Účast v novém ročníku příslušné ligy pak mají zajištěnu hráči mezi 4.-14.místem dané ligy</w:t>
      </w:r>
      <w:r w:rsidR="00E87DF2" w:rsidRPr="00AA0538">
        <w:rPr>
          <w:rFonts w:ascii="Verdana" w:hAnsi="Verdana"/>
          <w:sz w:val="20"/>
          <w:szCs w:val="20"/>
        </w:rPr>
        <w:t xml:space="preserve"> při počtu 17</w:t>
      </w:r>
      <w:r w:rsidRPr="00AA0538">
        <w:rPr>
          <w:rFonts w:ascii="Verdana" w:hAnsi="Verdana"/>
          <w:sz w:val="20"/>
          <w:szCs w:val="20"/>
        </w:rPr>
        <w:t xml:space="preserve"> a k tomu 3 postupující z nižší ligy a 3 sestupující z vyšší ligy se stejnou výjimkou jako v předchozím bodě. </w:t>
      </w:r>
    </w:p>
    <w:p w:rsidR="00801AE0" w:rsidRPr="00AA0538" w:rsidRDefault="00801AE0" w:rsidP="00801AE0">
      <w:pPr>
        <w:pStyle w:val="Bezmezer"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 xml:space="preserve">Pokud se v některé lize po 5.5. objeví volná místa, pak se musí doplnit do počtu 17 a právo kvalifikace mají vždy 1. nepostupující do dané ligy a nejlepší sestupující z dané ligy a případný nový hráč(i), pokud o danou či vyšší ligu </w:t>
      </w:r>
      <w:r w:rsidR="006229D2" w:rsidRPr="00AA0538">
        <w:rPr>
          <w:rFonts w:ascii="Verdana" w:hAnsi="Verdana"/>
          <w:sz w:val="20"/>
          <w:szCs w:val="20"/>
        </w:rPr>
        <w:t xml:space="preserve">(nový hráč však nesmí žádat rovnou o 1.ligu) </w:t>
      </w:r>
      <w:r w:rsidRPr="00AA0538">
        <w:rPr>
          <w:rFonts w:ascii="Verdana" w:hAnsi="Verdana"/>
          <w:sz w:val="20"/>
          <w:szCs w:val="20"/>
        </w:rPr>
        <w:t>zažádal při přihlášení a výbor TK uzná jeho výkonnost za způsobilou</w:t>
      </w:r>
      <w:r w:rsidRPr="00AA0538">
        <w:rPr>
          <w:rFonts w:ascii="Verdana" w:hAnsi="Verdana"/>
          <w:b/>
          <w:sz w:val="20"/>
          <w:szCs w:val="20"/>
        </w:rPr>
        <w:t xml:space="preserve">. </w:t>
      </w:r>
      <w:r w:rsidRPr="00AA0538">
        <w:rPr>
          <w:rFonts w:ascii="Verdana" w:hAnsi="Verdana"/>
          <w:sz w:val="20"/>
          <w:szCs w:val="20"/>
        </w:rPr>
        <w:t xml:space="preserve">O zařazení do kvalifikace může požádat i hráč, který danou ligu pro zranění nedohrál. Pokud bude míst více, pak další </w:t>
      </w:r>
      <w:proofErr w:type="gramStart"/>
      <w:r w:rsidRPr="00AA0538">
        <w:rPr>
          <w:rFonts w:ascii="Verdana" w:hAnsi="Verdana"/>
          <w:sz w:val="20"/>
          <w:szCs w:val="20"/>
        </w:rPr>
        <w:t>může</w:t>
      </w:r>
      <w:proofErr w:type="gramEnd"/>
      <w:r w:rsidRPr="00AA0538">
        <w:rPr>
          <w:rFonts w:ascii="Verdana" w:hAnsi="Verdana"/>
          <w:sz w:val="20"/>
          <w:szCs w:val="20"/>
        </w:rPr>
        <w:t xml:space="preserve"> výbor </w:t>
      </w:r>
      <w:proofErr w:type="gramStart"/>
      <w:r w:rsidRPr="00AA0538">
        <w:rPr>
          <w:rFonts w:ascii="Verdana" w:hAnsi="Verdana"/>
          <w:sz w:val="20"/>
          <w:szCs w:val="20"/>
        </w:rPr>
        <w:t>TK</w:t>
      </w:r>
      <w:proofErr w:type="gramEnd"/>
      <w:r w:rsidRPr="00AA0538">
        <w:rPr>
          <w:rFonts w:ascii="Verdana" w:hAnsi="Verdana"/>
          <w:sz w:val="20"/>
          <w:szCs w:val="20"/>
        </w:rPr>
        <w:t xml:space="preserve"> přidělit dle klíče 2. nepostupující, 2. nejlepší sestupující, atd. Podmínkou přijetí do kvalifikace je dosažitelnost na uvedené mobilní číslo a sehrání zápasů nejpozději do 25.5. </w:t>
      </w:r>
      <w:r w:rsidR="00D94A5F" w:rsidRPr="00AA0538">
        <w:rPr>
          <w:rFonts w:ascii="Verdana" w:hAnsi="Verdana"/>
          <w:sz w:val="20"/>
          <w:szCs w:val="20"/>
        </w:rPr>
        <w:t xml:space="preserve">Hráče mimo tabulková pořadí lze do kvalifikace zařadit maximálně dvakrát. </w:t>
      </w:r>
      <w:r w:rsidRPr="00AA0538">
        <w:rPr>
          <w:rFonts w:ascii="Verdana" w:hAnsi="Verdana"/>
          <w:sz w:val="20"/>
          <w:szCs w:val="20"/>
        </w:rPr>
        <w:t>Systém kvalifikace určuje zapisovatel. Nedohodnou-li se hráči sami, pak na návrh jednoho z nich určí zapisovatel termín(y) kvalifikace.</w:t>
      </w:r>
    </w:p>
    <w:p w:rsidR="00801AE0" w:rsidRPr="00AA0538" w:rsidRDefault="00801AE0" w:rsidP="00801AE0">
      <w:pPr>
        <w:pStyle w:val="Bezmezer"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>Pokud by i po kvalifikaci měla zůstat volná místa v předposledním stupni ligy, pak jsou přidělována dle loňského pořadí nejnižší ligy.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b/>
          <w:sz w:val="20"/>
          <w:szCs w:val="20"/>
        </w:rPr>
      </w:pPr>
    </w:p>
    <w:p w:rsidR="00801AE0" w:rsidRPr="00AA0538" w:rsidRDefault="00801AE0" w:rsidP="00801AE0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AA0538">
        <w:rPr>
          <w:rFonts w:ascii="Verdana" w:hAnsi="Verdana"/>
          <w:b/>
          <w:sz w:val="20"/>
          <w:szCs w:val="20"/>
          <w:u w:val="single"/>
        </w:rPr>
        <w:t>Kriteria pro hodnocení (A-G):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>A=Pořadí je stanoveno dle počtu získaných bodů (za vítězství jsou 2 body, za prohru 1 a za nesehraný zápas není žádný bod).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>B=Při rovnosti bodů dvou hráčů rozhoduje vzájemný zápas.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 xml:space="preserve">Při rovnosti bodů tří a více hráčů rozhoduje pomocná tabulka sestavená ze vzájemných výsledků těchto hráčů a pořadí se určí </w:t>
      </w:r>
      <w:proofErr w:type="gramStart"/>
      <w:r w:rsidRPr="00AA0538">
        <w:rPr>
          <w:rFonts w:ascii="Verdana" w:hAnsi="Verdana"/>
          <w:sz w:val="20"/>
          <w:szCs w:val="20"/>
        </w:rPr>
        <w:t>dle</w:t>
      </w:r>
      <w:proofErr w:type="gramEnd"/>
      <w:r w:rsidRPr="00AA0538">
        <w:rPr>
          <w:rFonts w:ascii="Verdana" w:hAnsi="Verdana"/>
          <w:sz w:val="20"/>
          <w:szCs w:val="20"/>
        </w:rPr>
        <w:t>: C=počtu bodů, D=rozdílu setů, E=rozdílu  gamů, F=rozdíl všech odehraných setů v lize, G=rozdílu všech odehraných gamů v lize.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 xml:space="preserve">První tři rekreační hráči každé ligy obdrží poháry. </w:t>
      </w:r>
    </w:p>
    <w:p w:rsidR="00A46933" w:rsidRPr="00AA0538" w:rsidRDefault="00A46933" w:rsidP="00801AE0">
      <w:pPr>
        <w:contextualSpacing/>
        <w:jc w:val="both"/>
        <w:rPr>
          <w:rFonts w:ascii="Verdana" w:hAnsi="Verdana"/>
          <w:b/>
          <w:sz w:val="20"/>
          <w:szCs w:val="20"/>
        </w:rPr>
      </w:pPr>
    </w:p>
    <w:p w:rsidR="00801AE0" w:rsidRPr="00AA0538" w:rsidRDefault="00801AE0" w:rsidP="00801AE0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AA0538">
        <w:rPr>
          <w:rFonts w:ascii="Verdana" w:hAnsi="Verdana"/>
          <w:b/>
          <w:sz w:val="20"/>
          <w:szCs w:val="20"/>
          <w:u w:val="single"/>
        </w:rPr>
        <w:t>Finance: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>Příjem ze startovného je příjmem TK vedeným řádně v účetnictví na úhradu pohárů či cen pro první tři rekreanty v každé lize, na zajištění občerstvení na podzimním závěrečném vyhodnocení RL pro včas přihlášené a za právo prodloužené rezervace kurtů na zápasy RL.</w:t>
      </w:r>
    </w:p>
    <w:p w:rsidR="00801AE0" w:rsidRPr="00AA0538" w:rsidRDefault="00801AE0" w:rsidP="00801AE0">
      <w:pPr>
        <w:contextualSpacing/>
        <w:jc w:val="both"/>
        <w:rPr>
          <w:rFonts w:ascii="Verdana" w:hAnsi="Verdana"/>
          <w:sz w:val="20"/>
          <w:szCs w:val="20"/>
        </w:rPr>
      </w:pPr>
    </w:p>
    <w:p w:rsidR="00801AE0" w:rsidRPr="00AA0538" w:rsidRDefault="00801AE0" w:rsidP="00801AE0">
      <w:pPr>
        <w:contextualSpacing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 xml:space="preserve">Projednáno na SRL dne </w:t>
      </w:r>
      <w:r w:rsidR="00A46933" w:rsidRPr="00AA0538">
        <w:rPr>
          <w:rFonts w:ascii="Verdana" w:hAnsi="Verdana"/>
          <w:sz w:val="20"/>
          <w:szCs w:val="20"/>
        </w:rPr>
        <w:t>2</w:t>
      </w:r>
      <w:r w:rsidR="00E87DF2" w:rsidRPr="00AA0538">
        <w:rPr>
          <w:rFonts w:ascii="Verdana" w:hAnsi="Verdana"/>
          <w:sz w:val="20"/>
          <w:szCs w:val="20"/>
        </w:rPr>
        <w:t>7</w:t>
      </w:r>
      <w:r w:rsidR="00A46933" w:rsidRPr="00AA0538">
        <w:rPr>
          <w:rFonts w:ascii="Verdana" w:hAnsi="Verdana"/>
          <w:sz w:val="20"/>
          <w:szCs w:val="20"/>
        </w:rPr>
        <w:t>.dubna 201</w:t>
      </w:r>
      <w:r w:rsidR="00E87DF2" w:rsidRPr="00AA0538">
        <w:rPr>
          <w:rFonts w:ascii="Verdana" w:hAnsi="Verdana"/>
          <w:sz w:val="20"/>
          <w:szCs w:val="20"/>
        </w:rPr>
        <w:t>6</w:t>
      </w:r>
    </w:p>
    <w:p w:rsidR="00B72133" w:rsidRPr="00AA0538" w:rsidRDefault="00801AE0" w:rsidP="0005057A">
      <w:pPr>
        <w:contextualSpacing/>
        <w:jc w:val="both"/>
        <w:rPr>
          <w:rFonts w:ascii="Verdana" w:hAnsi="Verdana"/>
          <w:sz w:val="20"/>
          <w:szCs w:val="20"/>
        </w:rPr>
      </w:pPr>
      <w:r w:rsidRPr="00AA0538">
        <w:rPr>
          <w:rFonts w:ascii="Verdana" w:hAnsi="Verdana"/>
          <w:sz w:val="20"/>
          <w:szCs w:val="20"/>
        </w:rPr>
        <w:t>Podepsán předseda TK a zvolený zapisovatel:</w:t>
      </w:r>
    </w:p>
    <w:p w:rsidR="00AA0538" w:rsidRDefault="00AA0538" w:rsidP="0005057A">
      <w:pPr>
        <w:contextualSpacing/>
        <w:jc w:val="both"/>
        <w:rPr>
          <w:rFonts w:ascii="Verdana" w:hAnsi="Verdana"/>
          <w:sz w:val="20"/>
          <w:szCs w:val="20"/>
        </w:rPr>
      </w:pPr>
    </w:p>
    <w:p w:rsidR="00A664DC" w:rsidRPr="00E60EB2" w:rsidRDefault="00A664DC" w:rsidP="0005057A">
      <w:pPr>
        <w:contextualSpacing/>
        <w:jc w:val="both"/>
        <w:rPr>
          <w:rFonts w:ascii="Verdana" w:hAnsi="Verdana"/>
          <w:b/>
          <w:u w:val="single"/>
        </w:rPr>
      </w:pPr>
      <w:r w:rsidRPr="00E60EB2">
        <w:rPr>
          <w:rFonts w:ascii="Verdana" w:hAnsi="Verdana"/>
          <w:b/>
          <w:u w:val="single"/>
        </w:rPr>
        <w:t>Doplňky</w:t>
      </w:r>
      <w:r w:rsidR="00E60EB2">
        <w:rPr>
          <w:rFonts w:ascii="Verdana" w:hAnsi="Verdana"/>
          <w:b/>
          <w:u w:val="single"/>
        </w:rPr>
        <w:t xml:space="preserve"> pravidel</w:t>
      </w:r>
      <w:bookmarkStart w:id="0" w:name="_GoBack"/>
      <w:bookmarkEnd w:id="0"/>
      <w:r w:rsidRPr="00E60EB2">
        <w:rPr>
          <w:rFonts w:ascii="Verdana" w:hAnsi="Verdana"/>
          <w:b/>
          <w:u w:val="single"/>
        </w:rPr>
        <w:t xml:space="preserve"> přijaté od r.2018:</w:t>
      </w:r>
    </w:p>
    <w:p w:rsidR="00E20727" w:rsidRDefault="00E20727" w:rsidP="00E20727">
      <w:pPr>
        <w:pStyle w:val="Odstavecseseznamem"/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Výjimka při prokazatelném dlouhodobém zranění</w:t>
      </w:r>
    </w:p>
    <w:p w:rsidR="00A664DC" w:rsidRDefault="00A664DC" w:rsidP="00A664DC">
      <w:pPr>
        <w:rPr>
          <w:rFonts w:ascii="Verdana" w:hAnsi="Verdana" w:cs="Tahoma"/>
          <w:color w:val="000000"/>
          <w:sz w:val="20"/>
          <w:szCs w:val="20"/>
        </w:rPr>
      </w:pPr>
      <w:r w:rsidRPr="00AA0538">
        <w:rPr>
          <w:rFonts w:ascii="Verdana" w:hAnsi="Verdana" w:cs="Tahoma"/>
          <w:color w:val="000000"/>
          <w:sz w:val="20"/>
          <w:szCs w:val="20"/>
        </w:rPr>
        <w:t> </w:t>
      </w:r>
      <w:r w:rsidR="00E20727">
        <w:rPr>
          <w:rFonts w:ascii="Verdana" w:hAnsi="Verdana" w:cs="Tahoma"/>
          <w:color w:val="000000"/>
          <w:sz w:val="20"/>
          <w:szCs w:val="20"/>
        </w:rPr>
        <w:t>Je-li zranění hráče prokazatelně dlouhodobé, pak na jeho žádost může vedení RL výjimečně zafixovat jeho výsledky a upozornit na to při rozesílání zpráv. Pokud to bude trvat do konce sezóny, pak jeho výsledky nebudou do tabulky započteny, ale v případě, že počet jeho vítězství je shodný či vyšší než má nejlepší sestupující, pak v soutěži setrvá. Pokud se stav zlepší, oznámí to vedení RL a v soutěži standardně pokračuje se započtením všech jeho výsledků</w:t>
      </w:r>
    </w:p>
    <w:p w:rsidR="00E20727" w:rsidRDefault="00E20727" w:rsidP="00E20727">
      <w:pPr>
        <w:pStyle w:val="Odstavecseseznamem"/>
        <w:numPr>
          <w:ilvl w:val="0"/>
          <w:numId w:val="1"/>
        </w:numPr>
        <w:spacing w:after="0"/>
        <w:rPr>
          <w:rFonts w:ascii="Verdana" w:eastAsia="Times New Roman" w:hAnsi="Verdana" w:cs="Tahoma"/>
          <w:b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color w:val="000000"/>
          <w:sz w:val="20"/>
          <w:szCs w:val="20"/>
        </w:rPr>
        <w:t>Skreč při utkání</w:t>
      </w:r>
    </w:p>
    <w:p w:rsidR="00A664DC" w:rsidRDefault="00E20727" w:rsidP="0005057A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Pokud hráč nastoupí k utkání a v průběhu zápasu dojde ke skreči, zapíše vítěz do sešitu u správce sehraný výsledek s dodatkem „scr“, do tabulky se dopočítají i nesehrané gamy, například výsledek 6:3, 1:1 scr., do tabulky se zapíše výsledek 6:3, 6:1. Skreč při utkání se považuje za sehraný zápas.</w:t>
      </w:r>
    </w:p>
    <w:p w:rsidR="00E60EB2" w:rsidRDefault="00E60EB2" w:rsidP="00E60EB2">
      <w:pPr>
        <w:pStyle w:val="Odstavecseseznamem"/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</w:t>
      </w:r>
      <w:r w:rsidR="00D81BB3">
        <w:rPr>
          <w:rFonts w:ascii="Verdana" w:hAnsi="Verdana"/>
          <w:b/>
          <w:sz w:val="20"/>
          <w:szCs w:val="20"/>
        </w:rPr>
        <w:t>ř</w:t>
      </w:r>
      <w:r>
        <w:rPr>
          <w:rFonts w:ascii="Verdana" w:hAnsi="Verdana"/>
          <w:b/>
          <w:sz w:val="20"/>
          <w:szCs w:val="20"/>
        </w:rPr>
        <w:t>adí při nesehraném zápas</w:t>
      </w:r>
    </w:p>
    <w:p w:rsidR="00E20727" w:rsidRDefault="00E60EB2" w:rsidP="0005057A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Pokud mají hráči stejný počet bodů a nesehraný vzájemný zápas, rozhoduje o konečném pořadí jako další kritériu celkový rozdíl setů (podíl), popřípadě rozdíl gamů (podíl).</w:t>
      </w:r>
    </w:p>
    <w:p w:rsidR="00E60EB2" w:rsidRDefault="00E60EB2" w:rsidP="00E60EB2">
      <w:pPr>
        <w:pStyle w:val="Odstavecseseznamem"/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Zapsání nesehraného zápasu</w:t>
      </w:r>
    </w:p>
    <w:p w:rsidR="00E20727" w:rsidRDefault="00E60EB2" w:rsidP="0005057A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Bude považováno jako hrubé porušení pravidel a zápas nebude zapsán to tabulek. Při prvním porušení bude řešeno napomenutím, další porušení bude znamenat automatický sestup o soutěž níže pro zapisujícího hráče.</w:t>
      </w:r>
    </w:p>
    <w:p w:rsidR="00E60EB2" w:rsidRDefault="00E60EB2" w:rsidP="00E60EB2">
      <w:pPr>
        <w:pStyle w:val="Odstavecseseznamem"/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Volba hracích míčů</w:t>
      </w:r>
    </w:p>
    <w:p w:rsidR="00E20727" w:rsidRDefault="00E60EB2" w:rsidP="0005057A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Nedojde-li ke vzájemné dohodě, s jakými míči se bude utkání RL hrát, pak se hraje s novými míči WILSON – australian open, hrazenými napolovic u správce.</w:t>
      </w:r>
    </w:p>
    <w:p w:rsidR="00E20727" w:rsidRDefault="00E20727" w:rsidP="0005057A">
      <w:pPr>
        <w:contextualSpacing/>
        <w:jc w:val="both"/>
        <w:rPr>
          <w:rFonts w:ascii="Verdana" w:hAnsi="Verdana"/>
          <w:sz w:val="20"/>
          <w:szCs w:val="20"/>
        </w:rPr>
      </w:pPr>
    </w:p>
    <w:p w:rsidR="00E20727" w:rsidRDefault="00E20727" w:rsidP="0005057A">
      <w:pPr>
        <w:contextualSpacing/>
        <w:jc w:val="both"/>
        <w:rPr>
          <w:rFonts w:ascii="Verdana" w:hAnsi="Verdana"/>
          <w:sz w:val="20"/>
          <w:szCs w:val="20"/>
        </w:rPr>
      </w:pPr>
    </w:p>
    <w:p w:rsidR="00595FF2" w:rsidRPr="00E60EB2" w:rsidRDefault="00595FF2" w:rsidP="00595FF2">
      <w:pPr>
        <w:contextualSpacing/>
        <w:jc w:val="both"/>
        <w:rPr>
          <w:rFonts w:ascii="Verdana" w:hAnsi="Verdana"/>
          <w:b/>
          <w:u w:val="single"/>
        </w:rPr>
      </w:pPr>
      <w:r w:rsidRPr="00E60EB2">
        <w:rPr>
          <w:rFonts w:ascii="Verdana" w:hAnsi="Verdana"/>
          <w:b/>
          <w:u w:val="single"/>
        </w:rPr>
        <w:t>Doplňky</w:t>
      </w:r>
      <w:r>
        <w:rPr>
          <w:rFonts w:ascii="Verdana" w:hAnsi="Verdana"/>
          <w:b/>
          <w:u w:val="single"/>
        </w:rPr>
        <w:t xml:space="preserve"> pravidel</w:t>
      </w:r>
      <w:r w:rsidRPr="00E60EB2">
        <w:rPr>
          <w:rFonts w:ascii="Verdana" w:hAnsi="Verdana"/>
          <w:b/>
          <w:u w:val="single"/>
        </w:rPr>
        <w:t xml:space="preserve"> přijaté od </w:t>
      </w:r>
      <w:proofErr w:type="gramStart"/>
      <w:r w:rsidRPr="00E60EB2">
        <w:rPr>
          <w:rFonts w:ascii="Verdana" w:hAnsi="Verdana"/>
          <w:b/>
          <w:u w:val="single"/>
        </w:rPr>
        <w:t>r.201</w:t>
      </w:r>
      <w:r>
        <w:rPr>
          <w:rFonts w:ascii="Verdana" w:hAnsi="Verdana"/>
          <w:b/>
          <w:u w:val="single"/>
        </w:rPr>
        <w:t>9</w:t>
      </w:r>
      <w:proofErr w:type="gramEnd"/>
      <w:r w:rsidRPr="00E60EB2">
        <w:rPr>
          <w:rFonts w:ascii="Verdana" w:hAnsi="Verdana"/>
          <w:b/>
          <w:u w:val="single"/>
        </w:rPr>
        <w:t>:</w:t>
      </w:r>
    </w:p>
    <w:p w:rsidR="00595FF2" w:rsidRPr="00595FF2" w:rsidRDefault="00FC2952" w:rsidP="00595FF2">
      <w:pPr>
        <w:rPr>
          <w:rFonts w:ascii="Arial" w:hAnsi="Arial" w:cs="Arial"/>
          <w:color w:val="5563BA"/>
          <w:sz w:val="20"/>
          <w:szCs w:val="20"/>
          <w:bdr w:val="none" w:sz="0" w:space="0" w:color="auto" w:frame="1"/>
        </w:rPr>
      </w:pPr>
      <w:r w:rsidRPr="00595FF2">
        <w:fldChar w:fldCharType="begin"/>
      </w:r>
      <w:r w:rsidR="00595FF2" w:rsidRPr="00595FF2">
        <w:instrText xml:space="preserve"> HYPERLINK "https://aukro.cz/lenka-filipova-the-best-of-2-cd-6946885057" </w:instrText>
      </w:r>
      <w:r w:rsidRPr="00595FF2">
        <w:fldChar w:fldCharType="separate"/>
      </w:r>
    </w:p>
    <w:p w:rsidR="00595FF2" w:rsidRDefault="00FC2952" w:rsidP="00595FF2">
      <w:pPr>
        <w:rPr>
          <w:rStyle w:val="Hypertextovodkaz"/>
          <w:rFonts w:ascii="Arial" w:hAnsi="Arial" w:cs="Arial"/>
          <w:color w:val="5563BA"/>
          <w:sz w:val="20"/>
          <w:szCs w:val="20"/>
          <w:u w:val="none"/>
          <w:bdr w:val="none" w:sz="0" w:space="0" w:color="auto" w:frame="1"/>
        </w:rPr>
      </w:pPr>
      <w:r w:rsidRPr="00595FF2">
        <w:fldChar w:fldCharType="end"/>
      </w:r>
      <w:r w:rsidR="00595FF2" w:rsidRPr="00595FF2">
        <w:t xml:space="preserve"> </w:t>
      </w:r>
      <w:r>
        <w:fldChar w:fldCharType="begin"/>
      </w:r>
      <w:r w:rsidR="00595FF2">
        <w:instrText xml:space="preserve"> HYPERLINK "https://aukro.cz/lenka-filipova-the-best-of-2-cd-6946885057" </w:instrText>
      </w:r>
      <w:r>
        <w:fldChar w:fldCharType="separate"/>
      </w:r>
    </w:p>
    <w:p w:rsidR="00E20727" w:rsidRPr="00595FF2" w:rsidRDefault="00FC2952" w:rsidP="00595FF2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fldChar w:fldCharType="end"/>
      </w:r>
      <w:r w:rsidR="00595FF2" w:rsidRPr="00595FF2">
        <w:rPr>
          <w:rStyle w:val="Siln"/>
          <w:rFonts w:ascii="Verdana" w:hAnsi="Verdana"/>
          <w:b w:val="0"/>
          <w:color w:val="000000"/>
          <w:sz w:val="20"/>
          <w:szCs w:val="20"/>
        </w:rPr>
        <w:t xml:space="preserve">Vyhraje-li bez </w:t>
      </w:r>
      <w:proofErr w:type="gramStart"/>
      <w:r w:rsidR="00595FF2" w:rsidRPr="00595FF2">
        <w:rPr>
          <w:rStyle w:val="Siln"/>
          <w:rFonts w:ascii="Verdana" w:hAnsi="Verdana"/>
          <w:b w:val="0"/>
          <w:color w:val="000000"/>
          <w:sz w:val="20"/>
          <w:szCs w:val="20"/>
        </w:rPr>
        <w:t>porážky 4.ligu</w:t>
      </w:r>
      <w:proofErr w:type="gramEnd"/>
      <w:r w:rsidR="00595FF2" w:rsidRPr="00595FF2">
        <w:rPr>
          <w:rStyle w:val="Siln"/>
          <w:rFonts w:ascii="Verdana" w:hAnsi="Verdana"/>
          <w:b w:val="0"/>
          <w:color w:val="000000"/>
          <w:sz w:val="20"/>
          <w:szCs w:val="20"/>
        </w:rPr>
        <w:t xml:space="preserve"> úplný nováček RL, má právo v příštím roce na kvalifikaci o 2.ligu, pokud se uskuteční</w:t>
      </w:r>
    </w:p>
    <w:p w:rsidR="00E20727" w:rsidRPr="00AA0538" w:rsidRDefault="00E20727" w:rsidP="00E20727">
      <w:pPr>
        <w:pStyle w:val="Odstavecseseznamem"/>
        <w:spacing w:before="0" w:beforeAutospacing="0" w:after="0" w:afterAutospacing="0" w:line="240" w:lineRule="atLeast"/>
        <w:ind w:left="720"/>
        <w:jc w:val="both"/>
        <w:rPr>
          <w:rFonts w:ascii="Verdana" w:hAnsi="Verdana" w:cs="Calibri"/>
          <w:color w:val="000000"/>
          <w:sz w:val="20"/>
          <w:szCs w:val="20"/>
        </w:rPr>
      </w:pPr>
      <w:r w:rsidRPr="00AA0538">
        <w:rPr>
          <w:rFonts w:ascii="Verdana" w:hAnsi="Verdana" w:cs="Calibri"/>
          <w:color w:val="000000"/>
          <w:sz w:val="20"/>
          <w:szCs w:val="20"/>
        </w:rPr>
        <w:t> </w:t>
      </w:r>
    </w:p>
    <w:p w:rsidR="00E20727" w:rsidRPr="00AA0538" w:rsidRDefault="00E20727" w:rsidP="00E20727">
      <w:pPr>
        <w:pStyle w:val="Odstavecseseznamem"/>
        <w:spacing w:before="0" w:beforeAutospacing="0" w:after="0" w:afterAutospacing="0" w:line="240" w:lineRule="atLeast"/>
        <w:ind w:left="720"/>
        <w:jc w:val="both"/>
        <w:rPr>
          <w:rFonts w:ascii="Verdana" w:hAnsi="Verdana" w:cs="Calibri"/>
          <w:color w:val="000000"/>
          <w:sz w:val="20"/>
          <w:szCs w:val="20"/>
        </w:rPr>
      </w:pPr>
      <w:r w:rsidRPr="00AA0538">
        <w:rPr>
          <w:rFonts w:ascii="Verdana" w:hAnsi="Verdana" w:cs="Calibri"/>
          <w:color w:val="000000"/>
          <w:sz w:val="20"/>
          <w:szCs w:val="20"/>
        </w:rPr>
        <w:t> </w:t>
      </w:r>
    </w:p>
    <w:p w:rsidR="00E20727" w:rsidRPr="00AA0538" w:rsidRDefault="00E20727" w:rsidP="0005057A">
      <w:pPr>
        <w:contextualSpacing/>
        <w:jc w:val="both"/>
        <w:rPr>
          <w:rFonts w:ascii="Verdana" w:hAnsi="Verdana"/>
          <w:sz w:val="20"/>
          <w:szCs w:val="20"/>
        </w:rPr>
      </w:pPr>
    </w:p>
    <w:sectPr w:rsidR="00E20727" w:rsidRPr="00AA0538" w:rsidSect="003C5ECB">
      <w:pgSz w:w="11907" w:h="16839" w:code="9"/>
      <w:pgMar w:top="993" w:right="720" w:bottom="993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1805"/>
    <w:multiLevelType w:val="hybridMultilevel"/>
    <w:tmpl w:val="96C48B96"/>
    <w:lvl w:ilvl="0" w:tplc="46AEF5EA">
      <w:start w:val="1"/>
      <w:numFmt w:val="decimal"/>
      <w:lvlText w:val="%1."/>
      <w:lvlJc w:val="left"/>
      <w:pPr>
        <w:ind w:left="975" w:hanging="615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801AE0"/>
    <w:rsid w:val="0005045E"/>
    <w:rsid w:val="0005057A"/>
    <w:rsid w:val="000A7555"/>
    <w:rsid w:val="000C3C8C"/>
    <w:rsid w:val="000E7D89"/>
    <w:rsid w:val="001033D5"/>
    <w:rsid w:val="001C06DC"/>
    <w:rsid w:val="0022181A"/>
    <w:rsid w:val="003C49E0"/>
    <w:rsid w:val="003C5ECB"/>
    <w:rsid w:val="00482F3D"/>
    <w:rsid w:val="005338B7"/>
    <w:rsid w:val="0053666D"/>
    <w:rsid w:val="00595FF2"/>
    <w:rsid w:val="005977EB"/>
    <w:rsid w:val="006229D2"/>
    <w:rsid w:val="0064066B"/>
    <w:rsid w:val="006A612E"/>
    <w:rsid w:val="00780674"/>
    <w:rsid w:val="007C210D"/>
    <w:rsid w:val="007C25E2"/>
    <w:rsid w:val="00801AE0"/>
    <w:rsid w:val="00805631"/>
    <w:rsid w:val="008700F2"/>
    <w:rsid w:val="00A0381F"/>
    <w:rsid w:val="00A206CE"/>
    <w:rsid w:val="00A46933"/>
    <w:rsid w:val="00A664DC"/>
    <w:rsid w:val="00AA0538"/>
    <w:rsid w:val="00AC619D"/>
    <w:rsid w:val="00B43277"/>
    <w:rsid w:val="00B72133"/>
    <w:rsid w:val="00C25E0A"/>
    <w:rsid w:val="00D81BB3"/>
    <w:rsid w:val="00D94A5F"/>
    <w:rsid w:val="00E20727"/>
    <w:rsid w:val="00E60EB2"/>
    <w:rsid w:val="00E87DF2"/>
    <w:rsid w:val="00ED4139"/>
    <w:rsid w:val="00FC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95F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1AE0"/>
    <w:pPr>
      <w:spacing w:after="0" w:line="240" w:lineRule="auto"/>
    </w:pPr>
    <w:rPr>
      <w:rFonts w:ascii="Calibri" w:hAnsi="Calibri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664DC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basedOn w:val="Standardnpsmoodstavce"/>
    <w:uiPriority w:val="22"/>
    <w:qFormat/>
    <w:rsid w:val="00A664D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95F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95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4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3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15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6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1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6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996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4</cp:revision>
  <cp:lastPrinted>2014-05-01T12:35:00Z</cp:lastPrinted>
  <dcterms:created xsi:type="dcterms:W3CDTF">2018-06-02T04:04:00Z</dcterms:created>
  <dcterms:modified xsi:type="dcterms:W3CDTF">2019-04-24T09:52:00Z</dcterms:modified>
</cp:coreProperties>
</file>